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CD" w:rsidRDefault="00833020">
      <w:r>
        <w:rPr>
          <w:rFonts w:ascii="Open Sans" w:hAnsi="Open Sans" w:cs="Arial"/>
          <w:noProof/>
          <w:color w:val="047CC0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546860" cy="1409065"/>
            <wp:effectExtent l="0" t="0" r="0" b="635"/>
            <wp:wrapSquare wrapText="bothSides"/>
            <wp:docPr id="2" name="Picture 2" descr="GHTC 2017">
              <a:hlinkClick xmlns:a="http://schemas.openxmlformats.org/drawingml/2006/main" r:id="rId7" tooltip="&quot;Return to the GHTC 2017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TC 2017">
                      <a:hlinkClick r:id="rId7" tooltip="&quot;Return to the GHTC 2017 home page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15"/>
                    <a:stretch/>
                  </pic:blipFill>
                  <pic:spPr bwMode="auto">
                    <a:xfrm>
                      <a:off x="0" y="0"/>
                      <a:ext cx="154686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55496" w:rsidRPr="00855496" w:rsidRDefault="005B60CF" w:rsidP="00855496">
      <w:pPr>
        <w:ind w:left="720"/>
        <w:jc w:val="right"/>
        <w:rPr>
          <w:b/>
          <w:smallCaps/>
          <w:sz w:val="32"/>
          <w:szCs w:val="32"/>
        </w:rPr>
      </w:pPr>
      <w:r w:rsidRPr="00855496">
        <w:rPr>
          <w:b/>
          <w:smallCaps/>
          <w:sz w:val="32"/>
          <w:szCs w:val="32"/>
        </w:rPr>
        <w:t>About the</w:t>
      </w:r>
      <w:r w:rsidRPr="00855496">
        <w:rPr>
          <w:smallCaps/>
          <w:sz w:val="32"/>
          <w:szCs w:val="32"/>
        </w:rPr>
        <w:t xml:space="preserve"> </w:t>
      </w:r>
      <w:r w:rsidRPr="00855496">
        <w:rPr>
          <w:b/>
          <w:smallCaps/>
          <w:sz w:val="32"/>
          <w:szCs w:val="32"/>
        </w:rPr>
        <w:t>20</w:t>
      </w:r>
      <w:r w:rsidR="00AC0076" w:rsidRPr="00855496">
        <w:rPr>
          <w:b/>
          <w:smallCaps/>
          <w:sz w:val="32"/>
          <w:szCs w:val="32"/>
        </w:rPr>
        <w:t>17 Global Humanitarian Technology</w:t>
      </w:r>
      <w:r w:rsidR="00833020" w:rsidRPr="00855496">
        <w:rPr>
          <w:b/>
          <w:smallCaps/>
          <w:sz w:val="32"/>
          <w:szCs w:val="32"/>
        </w:rPr>
        <w:t xml:space="preserve"> </w:t>
      </w:r>
    </w:p>
    <w:p w:rsidR="00833020" w:rsidRPr="005B60CF" w:rsidRDefault="00833020" w:rsidP="00855496">
      <w:pPr>
        <w:ind w:left="720"/>
        <w:jc w:val="right"/>
        <w:rPr>
          <w:sz w:val="32"/>
          <w:szCs w:val="32"/>
        </w:rPr>
      </w:pPr>
      <w:r w:rsidRPr="00855496">
        <w:rPr>
          <w:b/>
          <w:smallCaps/>
          <w:sz w:val="32"/>
          <w:szCs w:val="32"/>
        </w:rPr>
        <w:t>Solutions Challenge</w:t>
      </w:r>
    </w:p>
    <w:p w:rsidR="00855496" w:rsidRDefault="00855496" w:rsidP="00DD7764">
      <w:pPr>
        <w:pStyle w:val="NoSpacing"/>
        <w:rPr>
          <w:b/>
          <w:sz w:val="28"/>
        </w:rPr>
      </w:pPr>
    </w:p>
    <w:p w:rsidR="00A8719B" w:rsidRPr="00E3022B" w:rsidRDefault="00A8719B" w:rsidP="00855496">
      <w:pPr>
        <w:pStyle w:val="NoSpacing"/>
        <w:jc w:val="right"/>
        <w:rPr>
          <w:b/>
          <w:sz w:val="28"/>
        </w:rPr>
      </w:pPr>
      <w:r w:rsidRPr="00E3022B">
        <w:rPr>
          <w:b/>
          <w:sz w:val="28"/>
        </w:rPr>
        <w:t xml:space="preserve">Ensuring sustainable food consumption and production </w:t>
      </w:r>
    </w:p>
    <w:p w:rsidR="00A8719B" w:rsidRPr="00A8719B" w:rsidRDefault="00A8719B" w:rsidP="00DD7764">
      <w:pPr>
        <w:pStyle w:val="NoSpacing"/>
        <w:rPr>
          <w:b/>
          <w:sz w:val="24"/>
        </w:rPr>
      </w:pPr>
    </w:p>
    <w:p w:rsidR="00855496" w:rsidRDefault="00855496" w:rsidP="00DD7764">
      <w:pPr>
        <w:pStyle w:val="NoSpacing"/>
        <w:rPr>
          <w:sz w:val="24"/>
        </w:rPr>
      </w:pPr>
    </w:p>
    <w:p w:rsidR="005B60CF" w:rsidRDefault="00742B93" w:rsidP="00DD7764">
      <w:pPr>
        <w:pStyle w:val="NoSpacing"/>
        <w:rPr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13970</wp:posOffset>
            </wp:positionV>
            <wp:extent cx="1627505" cy="1257300"/>
            <wp:effectExtent l="0" t="0" r="0" b="0"/>
            <wp:wrapSquare wrapText="bothSides"/>
            <wp:docPr id="5" name="irc_mi" descr="Image result for sustainable food consumption and produc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stainable food consumption and produc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0CF">
        <w:rPr>
          <w:sz w:val="24"/>
        </w:rPr>
        <w:t xml:space="preserve">The </w:t>
      </w:r>
      <w:r w:rsidR="005B60CF" w:rsidRPr="005B60CF">
        <w:rPr>
          <w:sz w:val="24"/>
        </w:rPr>
        <w:t>United Nations Development Program</w:t>
      </w:r>
      <w:r w:rsidR="005B60CF">
        <w:rPr>
          <w:sz w:val="24"/>
        </w:rPr>
        <w:t xml:space="preserve"> identified seventeen (17) </w:t>
      </w:r>
      <w:r w:rsidR="005B60CF" w:rsidRPr="005B60CF">
        <w:rPr>
          <w:sz w:val="24"/>
        </w:rPr>
        <w:t>Sustai</w:t>
      </w:r>
      <w:r w:rsidR="005B60CF">
        <w:rPr>
          <w:sz w:val="24"/>
        </w:rPr>
        <w:t xml:space="preserve">nable Development Goals (SDGs) as a global call for </w:t>
      </w:r>
      <w:r w:rsidR="005B60CF" w:rsidRPr="005B60CF">
        <w:rPr>
          <w:sz w:val="24"/>
        </w:rPr>
        <w:t>action to end poverty, protect the planet and ensure that all people enjoy peace and prosperity.</w:t>
      </w:r>
      <w:r w:rsidR="005B60CF">
        <w:rPr>
          <w:sz w:val="24"/>
        </w:rPr>
        <w:t xml:space="preserve">  </w:t>
      </w:r>
    </w:p>
    <w:p w:rsidR="005B60CF" w:rsidRDefault="005B60CF" w:rsidP="00DD7764">
      <w:pPr>
        <w:pStyle w:val="NoSpacing"/>
        <w:rPr>
          <w:sz w:val="24"/>
        </w:rPr>
      </w:pPr>
    </w:p>
    <w:p w:rsidR="00F53718" w:rsidRDefault="005B60CF" w:rsidP="00DD7764">
      <w:pPr>
        <w:pStyle w:val="NoSpacing"/>
        <w:rPr>
          <w:sz w:val="24"/>
        </w:rPr>
      </w:pPr>
      <w:r>
        <w:rPr>
          <w:sz w:val="24"/>
        </w:rPr>
        <w:t xml:space="preserve">The </w:t>
      </w:r>
      <w:r w:rsidRPr="005B60CF">
        <w:rPr>
          <w:sz w:val="24"/>
        </w:rPr>
        <w:t xml:space="preserve">2017 Global Humanitarian Technology Solutions Challenge </w:t>
      </w:r>
      <w:r>
        <w:rPr>
          <w:sz w:val="24"/>
        </w:rPr>
        <w:t xml:space="preserve">was developed to focus on </w:t>
      </w:r>
      <w:r w:rsidR="00F53718">
        <w:rPr>
          <w:sz w:val="24"/>
        </w:rPr>
        <w:t xml:space="preserve">Goal 12.3.  </w:t>
      </w:r>
    </w:p>
    <w:p w:rsidR="00F53718" w:rsidRDefault="005B60CF" w:rsidP="00F53718">
      <w:pPr>
        <w:pStyle w:val="NoSpacing"/>
        <w:ind w:left="720"/>
        <w:rPr>
          <w:sz w:val="24"/>
        </w:rPr>
      </w:pPr>
      <w:r>
        <w:rPr>
          <w:sz w:val="24"/>
        </w:rPr>
        <w:t>Goal 12</w:t>
      </w:r>
      <w:r w:rsidR="00A266CC">
        <w:rPr>
          <w:sz w:val="24"/>
        </w:rPr>
        <w:t xml:space="preserve">: </w:t>
      </w:r>
      <w:r>
        <w:rPr>
          <w:sz w:val="24"/>
        </w:rPr>
        <w:t xml:space="preserve"> </w:t>
      </w:r>
      <w:r w:rsidRPr="005B60CF">
        <w:rPr>
          <w:b/>
          <w:i/>
          <w:sz w:val="24"/>
        </w:rPr>
        <w:t>End hunger, achieve food security and improved nutrition and promote sustainable agriculture</w:t>
      </w:r>
      <w:r>
        <w:rPr>
          <w:sz w:val="24"/>
        </w:rPr>
        <w:t xml:space="preserve"> </w:t>
      </w:r>
    </w:p>
    <w:p w:rsidR="00855496" w:rsidRDefault="005B60CF" w:rsidP="00F53718">
      <w:pPr>
        <w:pStyle w:val="NoSpacing"/>
        <w:ind w:left="720"/>
        <w:rPr>
          <w:sz w:val="24"/>
        </w:rPr>
      </w:pPr>
      <w:r>
        <w:rPr>
          <w:sz w:val="24"/>
        </w:rPr>
        <w:t xml:space="preserve">Section 3:  </w:t>
      </w:r>
      <w:r w:rsidR="005D37AB" w:rsidRPr="005D37AB">
        <w:rPr>
          <w:b/>
          <w:i/>
          <w:sz w:val="24"/>
        </w:rPr>
        <w:t>Decrease by half the per capita global food waste at the retail and consumer levels and reduce food losses along production and supply chains, including post-harvest losses</w:t>
      </w:r>
      <w:r w:rsidR="005D37AB">
        <w:rPr>
          <w:b/>
          <w:i/>
          <w:sz w:val="24"/>
        </w:rPr>
        <w:t>.</w:t>
      </w:r>
      <w:r>
        <w:rPr>
          <w:sz w:val="24"/>
        </w:rPr>
        <w:t xml:space="preserve"> </w:t>
      </w:r>
      <w:r w:rsidR="00855496">
        <w:rPr>
          <w:sz w:val="24"/>
        </w:rPr>
        <w:t xml:space="preserve"> </w:t>
      </w:r>
    </w:p>
    <w:p w:rsidR="00855496" w:rsidRDefault="00855496" w:rsidP="00DD7764">
      <w:pPr>
        <w:pStyle w:val="NoSpacing"/>
        <w:rPr>
          <w:sz w:val="24"/>
        </w:rPr>
      </w:pPr>
    </w:p>
    <w:p w:rsidR="001F29D7" w:rsidRPr="00E3022B" w:rsidRDefault="001F29D7" w:rsidP="00DD7764">
      <w:pPr>
        <w:pStyle w:val="NoSpacing"/>
        <w:rPr>
          <w:sz w:val="24"/>
        </w:rPr>
      </w:pPr>
      <w:r w:rsidRPr="00E3022B">
        <w:rPr>
          <w:sz w:val="24"/>
        </w:rPr>
        <w:t xml:space="preserve">The solution can address any element or issue that relates </w:t>
      </w:r>
      <w:r w:rsidR="00F53718">
        <w:rPr>
          <w:sz w:val="24"/>
        </w:rPr>
        <w:t xml:space="preserve">to Section 3.  That includes, but is not limited to, </w:t>
      </w:r>
      <w:r w:rsidRPr="00E3022B">
        <w:rPr>
          <w:sz w:val="24"/>
        </w:rPr>
        <w:t>the food supply and production chain including crop production, processing, post-harvest losses, retail distribution, consumer use and lost product.</w:t>
      </w:r>
    </w:p>
    <w:p w:rsidR="001F29D7" w:rsidRPr="00E3022B" w:rsidRDefault="001F29D7" w:rsidP="00DD7764">
      <w:pPr>
        <w:pStyle w:val="NoSpacing"/>
        <w:rPr>
          <w:sz w:val="24"/>
        </w:rPr>
      </w:pPr>
    </w:p>
    <w:p w:rsidR="005D37AB" w:rsidRDefault="007D6B74" w:rsidP="00DD7764">
      <w:pPr>
        <w:pStyle w:val="NoSpacing"/>
        <w:rPr>
          <w:sz w:val="24"/>
        </w:rPr>
      </w:pPr>
      <w:r w:rsidRPr="00E3022B">
        <w:rPr>
          <w:sz w:val="24"/>
        </w:rPr>
        <w:t xml:space="preserve">The project </w:t>
      </w:r>
      <w:r w:rsidR="001F29D7" w:rsidRPr="00E3022B">
        <w:rPr>
          <w:sz w:val="24"/>
        </w:rPr>
        <w:t xml:space="preserve">solution </w:t>
      </w:r>
      <w:r w:rsidRPr="00E3022B">
        <w:rPr>
          <w:sz w:val="24"/>
        </w:rPr>
        <w:t xml:space="preserve">can be developed by individuals or by </w:t>
      </w:r>
      <w:r w:rsidR="002B2C66" w:rsidRPr="00E3022B">
        <w:rPr>
          <w:sz w:val="24"/>
        </w:rPr>
        <w:t>a Solutions Challenge Team</w:t>
      </w:r>
      <w:r w:rsidRPr="00E3022B">
        <w:rPr>
          <w:sz w:val="24"/>
        </w:rPr>
        <w:t xml:space="preserve">.  </w:t>
      </w:r>
      <w:r w:rsidR="00A8719B" w:rsidRPr="00E3022B">
        <w:rPr>
          <w:sz w:val="24"/>
        </w:rPr>
        <w:t xml:space="preserve">To be eligible to enter the GHTC Solutions Challenge, at least one team members must be an IEEE member in good standing at the time that the entry is submitted.  </w:t>
      </w:r>
    </w:p>
    <w:p w:rsidR="005D37AB" w:rsidRDefault="005D37AB" w:rsidP="00DD7764">
      <w:pPr>
        <w:pStyle w:val="NoSpacing"/>
        <w:rPr>
          <w:sz w:val="24"/>
        </w:rPr>
      </w:pPr>
    </w:p>
    <w:p w:rsidR="005D37AB" w:rsidRPr="00855496" w:rsidRDefault="005D37AB" w:rsidP="00DD7764">
      <w:pPr>
        <w:pStyle w:val="NoSpacing"/>
        <w:rPr>
          <w:b/>
          <w:sz w:val="24"/>
        </w:rPr>
      </w:pPr>
      <w:r w:rsidRPr="00855496">
        <w:rPr>
          <w:b/>
          <w:sz w:val="24"/>
        </w:rPr>
        <w:t>Key dates:</w:t>
      </w:r>
    </w:p>
    <w:p w:rsidR="00855496" w:rsidRDefault="005D37AB" w:rsidP="00DD7764">
      <w:pPr>
        <w:pStyle w:val="NoSpacing"/>
        <w:numPr>
          <w:ilvl w:val="0"/>
          <w:numId w:val="7"/>
        </w:numPr>
        <w:rPr>
          <w:sz w:val="24"/>
        </w:rPr>
      </w:pPr>
      <w:r w:rsidRPr="00855496">
        <w:rPr>
          <w:sz w:val="24"/>
        </w:rPr>
        <w:t>Submit a</w:t>
      </w:r>
      <w:r w:rsidR="007D6B74" w:rsidRPr="00855496">
        <w:rPr>
          <w:sz w:val="24"/>
        </w:rPr>
        <w:t xml:space="preserve"> Project Statement of Intent </w:t>
      </w:r>
      <w:r w:rsidRPr="00855496">
        <w:rPr>
          <w:sz w:val="24"/>
        </w:rPr>
        <w:t xml:space="preserve">not later than </w:t>
      </w:r>
      <w:r w:rsidR="001F29D7" w:rsidRPr="00855496">
        <w:rPr>
          <w:b/>
          <w:sz w:val="24"/>
        </w:rPr>
        <w:t>July</w:t>
      </w:r>
      <w:r w:rsidR="007D6B74" w:rsidRPr="00855496">
        <w:rPr>
          <w:b/>
          <w:sz w:val="24"/>
        </w:rPr>
        <w:t xml:space="preserve"> 15</w:t>
      </w:r>
      <w:r w:rsidR="007D6B74" w:rsidRPr="00855496">
        <w:rPr>
          <w:b/>
          <w:sz w:val="24"/>
          <w:vertAlign w:val="superscript"/>
        </w:rPr>
        <w:t>th</w:t>
      </w:r>
      <w:r w:rsidR="007D6B74" w:rsidRPr="00855496">
        <w:rPr>
          <w:b/>
          <w:sz w:val="24"/>
        </w:rPr>
        <w:t>, 2017</w:t>
      </w:r>
      <w:r w:rsidR="007D6B74" w:rsidRPr="00855496">
        <w:rPr>
          <w:sz w:val="24"/>
        </w:rPr>
        <w:t>.  The Statement of Intent can be submitted as a video (2-minute maximum) or written statement (</w:t>
      </w:r>
      <w:r w:rsidR="00182A17">
        <w:rPr>
          <w:sz w:val="24"/>
        </w:rPr>
        <w:t>250</w:t>
      </w:r>
      <w:r w:rsidR="007D6B74" w:rsidRPr="00855496">
        <w:rPr>
          <w:sz w:val="24"/>
        </w:rPr>
        <w:t>-word maximum).  The Statement of Intent provides a basic description of the project and project scope.</w:t>
      </w:r>
      <w:r w:rsidR="00B62000">
        <w:rPr>
          <w:sz w:val="24"/>
        </w:rPr>
        <w:t xml:space="preserve">  The Statement of Intent must also provide the names</w:t>
      </w:r>
      <w:r w:rsidR="005F6F58">
        <w:rPr>
          <w:sz w:val="24"/>
        </w:rPr>
        <w:t xml:space="preserve">, </w:t>
      </w:r>
      <w:r w:rsidR="00B62000">
        <w:rPr>
          <w:sz w:val="24"/>
        </w:rPr>
        <w:t xml:space="preserve">university </w:t>
      </w:r>
      <w:r w:rsidR="005F6F58">
        <w:rPr>
          <w:sz w:val="24"/>
        </w:rPr>
        <w:t xml:space="preserve">affiliation </w:t>
      </w:r>
      <w:r w:rsidR="00B62000">
        <w:rPr>
          <w:sz w:val="24"/>
        </w:rPr>
        <w:t>(as applicable)</w:t>
      </w:r>
      <w:r w:rsidR="005F6F58">
        <w:rPr>
          <w:sz w:val="24"/>
        </w:rPr>
        <w:t xml:space="preserve"> and</w:t>
      </w:r>
      <w:r w:rsidR="00B62000">
        <w:rPr>
          <w:sz w:val="24"/>
        </w:rPr>
        <w:t xml:space="preserve"> </w:t>
      </w:r>
      <w:r w:rsidR="005F6F58">
        <w:rPr>
          <w:sz w:val="24"/>
        </w:rPr>
        <w:t>academic discipline</w:t>
      </w:r>
      <w:r w:rsidR="00B62000">
        <w:rPr>
          <w:sz w:val="24"/>
        </w:rPr>
        <w:t xml:space="preserve"> of </w:t>
      </w:r>
      <w:r w:rsidR="005F6F58">
        <w:rPr>
          <w:sz w:val="24"/>
        </w:rPr>
        <w:t>each</w:t>
      </w:r>
      <w:r w:rsidR="00B62000">
        <w:rPr>
          <w:sz w:val="24"/>
        </w:rPr>
        <w:t xml:space="preserve"> team member</w:t>
      </w:r>
      <w:bookmarkStart w:id="0" w:name="_GoBack"/>
      <w:bookmarkEnd w:id="0"/>
      <w:r w:rsidR="00B62000">
        <w:rPr>
          <w:sz w:val="24"/>
        </w:rPr>
        <w:t>.</w:t>
      </w:r>
    </w:p>
    <w:p w:rsidR="007D6B74" w:rsidRPr="00855496" w:rsidRDefault="001F29D7" w:rsidP="00DD7764">
      <w:pPr>
        <w:pStyle w:val="NoSpacing"/>
        <w:numPr>
          <w:ilvl w:val="0"/>
          <w:numId w:val="7"/>
        </w:numPr>
        <w:rPr>
          <w:sz w:val="24"/>
        </w:rPr>
      </w:pPr>
      <w:r w:rsidRPr="00855496">
        <w:rPr>
          <w:sz w:val="24"/>
        </w:rPr>
        <w:t>Solution</w:t>
      </w:r>
      <w:r w:rsidR="007D6B74" w:rsidRPr="00855496">
        <w:rPr>
          <w:sz w:val="24"/>
        </w:rPr>
        <w:t xml:space="preserve"> Submission </w:t>
      </w:r>
      <w:r w:rsidR="00855496">
        <w:rPr>
          <w:sz w:val="24"/>
        </w:rPr>
        <w:t>is due not later than</w:t>
      </w:r>
      <w:r w:rsidR="007D6B74" w:rsidRPr="00855496">
        <w:rPr>
          <w:sz w:val="24"/>
        </w:rPr>
        <w:t xml:space="preserve"> </w:t>
      </w:r>
      <w:r w:rsidR="007D6B74" w:rsidRPr="00855496">
        <w:rPr>
          <w:b/>
          <w:sz w:val="24"/>
        </w:rPr>
        <w:t>September 12</w:t>
      </w:r>
      <w:r w:rsidR="007D6B74" w:rsidRPr="00855496">
        <w:rPr>
          <w:b/>
          <w:sz w:val="24"/>
          <w:vertAlign w:val="superscript"/>
        </w:rPr>
        <w:t>th</w:t>
      </w:r>
      <w:r w:rsidR="007D6B74" w:rsidRPr="00855496">
        <w:rPr>
          <w:b/>
          <w:sz w:val="24"/>
        </w:rPr>
        <w:t>, 2017</w:t>
      </w:r>
      <w:r w:rsidR="007D6B74" w:rsidRPr="00855496">
        <w:rPr>
          <w:sz w:val="24"/>
        </w:rPr>
        <w:t xml:space="preserve">.  The submission may be a video (10-minute maximum) or written paper (5,000-word maximum).  </w:t>
      </w:r>
      <w:r w:rsidR="00DD7764" w:rsidRPr="00855496">
        <w:rPr>
          <w:sz w:val="24"/>
        </w:rPr>
        <w:t xml:space="preserve">The project can be a working prototype, scale model, detailed engineering specifications, an in-installation process or a fully operational project.  </w:t>
      </w:r>
      <w:r w:rsidR="007D6B74" w:rsidRPr="00855496">
        <w:rPr>
          <w:sz w:val="24"/>
        </w:rPr>
        <w:t>The description must provide the description, impact (anticipated or real), costs, installation (real or concept)</w:t>
      </w:r>
      <w:r w:rsidR="00A8719B" w:rsidRPr="00855496">
        <w:rPr>
          <w:sz w:val="24"/>
        </w:rPr>
        <w:t>.</w:t>
      </w:r>
    </w:p>
    <w:p w:rsidR="007D6B74" w:rsidRPr="00E3022B" w:rsidRDefault="007D6B74" w:rsidP="00DD7764">
      <w:pPr>
        <w:pStyle w:val="NoSpacing"/>
        <w:rPr>
          <w:sz w:val="24"/>
        </w:rPr>
      </w:pPr>
    </w:p>
    <w:p w:rsidR="007D6B74" w:rsidRDefault="002B2C66" w:rsidP="00DD7764">
      <w:pPr>
        <w:pStyle w:val="NoSpacing"/>
        <w:rPr>
          <w:sz w:val="24"/>
        </w:rPr>
      </w:pPr>
      <w:r w:rsidRPr="00E3022B">
        <w:rPr>
          <w:rFonts w:eastAsia="Times New Roman" w:cs="Times New Roman"/>
          <w:sz w:val="24"/>
        </w:rPr>
        <w:t>Solutions Challenge Teams</w:t>
      </w:r>
      <w:r w:rsidR="007D6B74" w:rsidRPr="00E3022B">
        <w:rPr>
          <w:sz w:val="24"/>
        </w:rPr>
        <w:t xml:space="preserve"> will be judged on the creativity and applicability of their design, completeness of their documentation, and quality of their presentation.   </w:t>
      </w:r>
      <w:r w:rsidR="00AA1E06">
        <w:rPr>
          <w:sz w:val="24"/>
        </w:rPr>
        <w:t>The winning team will be notified not later than October 1</w:t>
      </w:r>
      <w:r w:rsidR="00AA1E06" w:rsidRPr="00AA1E06">
        <w:rPr>
          <w:sz w:val="24"/>
          <w:vertAlign w:val="superscript"/>
        </w:rPr>
        <w:t>st</w:t>
      </w:r>
      <w:r w:rsidR="00AA1E06">
        <w:rPr>
          <w:sz w:val="24"/>
        </w:rPr>
        <w:t>, 2017</w:t>
      </w:r>
      <w:r w:rsidR="00855496">
        <w:rPr>
          <w:sz w:val="24"/>
        </w:rPr>
        <w:t>.  The decision of the judges is final.</w:t>
      </w:r>
    </w:p>
    <w:p w:rsidR="00A716A9" w:rsidRDefault="00A716A9" w:rsidP="00DD7764">
      <w:pPr>
        <w:pStyle w:val="NoSpacing"/>
        <w:rPr>
          <w:sz w:val="24"/>
        </w:rPr>
      </w:pPr>
    </w:p>
    <w:p w:rsidR="00A716A9" w:rsidRPr="00B06517" w:rsidRDefault="00A716A9" w:rsidP="00DD7764">
      <w:pPr>
        <w:pStyle w:val="NoSpacing"/>
        <w:rPr>
          <w:b/>
          <w:sz w:val="28"/>
        </w:rPr>
      </w:pPr>
      <w:r>
        <w:rPr>
          <w:sz w:val="24"/>
        </w:rPr>
        <w:t xml:space="preserve">For additional information contact </w:t>
      </w:r>
      <w:hyperlink r:id="rId11" w:history="1">
        <w:r w:rsidR="00B06517" w:rsidRPr="00B06517">
          <w:rPr>
            <w:rStyle w:val="Hyperlink"/>
            <w:b/>
            <w:sz w:val="24"/>
          </w:rPr>
          <w:t>GHTCsolutions@ieee.org</w:t>
        </w:r>
      </w:hyperlink>
      <w:r w:rsidR="00B06517" w:rsidRPr="00B06517">
        <w:rPr>
          <w:b/>
          <w:sz w:val="24"/>
        </w:rPr>
        <w:t xml:space="preserve"> </w:t>
      </w:r>
      <w:r w:rsidRPr="00B06517">
        <w:rPr>
          <w:b/>
          <w:sz w:val="28"/>
          <w:szCs w:val="24"/>
        </w:rPr>
        <w:t xml:space="preserve"> </w:t>
      </w:r>
    </w:p>
    <w:sectPr w:rsidR="00A716A9" w:rsidRPr="00B06517" w:rsidSect="0083302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8C" w:rsidRDefault="00B5248C" w:rsidP="00E3022B">
      <w:pPr>
        <w:spacing w:after="0" w:line="240" w:lineRule="auto"/>
      </w:pPr>
      <w:r>
        <w:separator/>
      </w:r>
    </w:p>
  </w:endnote>
  <w:endnote w:type="continuationSeparator" w:id="0">
    <w:p w:rsidR="00B5248C" w:rsidRDefault="00B5248C" w:rsidP="00E3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2B" w:rsidRPr="00254B3A" w:rsidRDefault="00160F70" w:rsidP="00254B3A">
    <w:pPr>
      <w:pStyle w:val="Footer"/>
      <w:jc w:val="center"/>
      <w:rPr>
        <w:b/>
        <w:smallCaps/>
      </w:rPr>
    </w:pPr>
    <w:r>
      <w:rPr>
        <w:b/>
        <w:smallCap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1996440</wp:posOffset>
          </wp:positionH>
          <wp:positionV relativeFrom="paragraph">
            <wp:posOffset>-47625</wp:posOffset>
          </wp:positionV>
          <wp:extent cx="280670" cy="280670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E66">
      <w:rPr>
        <w:b/>
        <w:smallCaps/>
      </w:rPr>
      <w:t xml:space="preserve">IEEE </w:t>
    </w:r>
    <w:r w:rsidR="00254B3A" w:rsidRPr="00254B3A">
      <w:rPr>
        <w:b/>
        <w:smallCaps/>
      </w:rPr>
      <w:t>GHTC Solution</w:t>
    </w:r>
    <w:r w:rsidR="00254B3A">
      <w:rPr>
        <w:b/>
        <w:smallCaps/>
      </w:rPr>
      <w:t>s</w:t>
    </w:r>
    <w:r w:rsidR="00254B3A" w:rsidRPr="00254B3A">
      <w:rPr>
        <w:b/>
        <w:smallCaps/>
      </w:rPr>
      <w:t xml:space="preserve"> Challenge</w:t>
    </w:r>
    <w:r w:rsidR="00254B3A">
      <w:rPr>
        <w:b/>
        <w:smallCaps/>
      </w:rPr>
      <w:t xml:space="preserve"> – 2017 </w:t>
    </w:r>
  </w:p>
  <w:p w:rsidR="00E3022B" w:rsidRDefault="00E30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8C" w:rsidRDefault="00B5248C" w:rsidP="00E3022B">
      <w:pPr>
        <w:spacing w:after="0" w:line="240" w:lineRule="auto"/>
      </w:pPr>
      <w:r>
        <w:separator/>
      </w:r>
    </w:p>
  </w:footnote>
  <w:footnote w:type="continuationSeparator" w:id="0">
    <w:p w:rsidR="00B5248C" w:rsidRDefault="00B5248C" w:rsidP="00E3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F1D"/>
    <w:multiLevelType w:val="hybridMultilevel"/>
    <w:tmpl w:val="46FEF872"/>
    <w:lvl w:ilvl="0" w:tplc="63EAA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29B2D74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97D5E"/>
    <w:multiLevelType w:val="hybridMultilevel"/>
    <w:tmpl w:val="7D56DADC"/>
    <w:lvl w:ilvl="0" w:tplc="26F63234">
      <w:start w:val="1"/>
      <w:numFmt w:val="lowerLetter"/>
      <w:lvlText w:val="%1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1240CD"/>
    <w:multiLevelType w:val="hybridMultilevel"/>
    <w:tmpl w:val="908A8CD2"/>
    <w:lvl w:ilvl="0" w:tplc="040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74786"/>
    <w:multiLevelType w:val="hybridMultilevel"/>
    <w:tmpl w:val="3A50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45F93"/>
    <w:multiLevelType w:val="hybridMultilevel"/>
    <w:tmpl w:val="8E3AAD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DB7280C"/>
    <w:multiLevelType w:val="hybridMultilevel"/>
    <w:tmpl w:val="003EBB60"/>
    <w:lvl w:ilvl="0" w:tplc="5DB661B2">
      <w:start w:val="1"/>
      <w:numFmt w:val="decimal"/>
      <w:lvlText w:val="%1."/>
      <w:lvlJc w:val="left"/>
      <w:pPr>
        <w:tabs>
          <w:tab w:val="num" w:pos="-288"/>
        </w:tabs>
        <w:ind w:left="-288" w:hanging="180"/>
      </w:pPr>
      <w:rPr>
        <w:rFonts w:hint="default"/>
        <w:sz w:val="24"/>
      </w:rPr>
    </w:lvl>
    <w:lvl w:ilvl="1" w:tplc="0406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6" w15:restartNumberingAfterBreak="0">
    <w:nsid w:val="7EDD37FA"/>
    <w:multiLevelType w:val="hybridMultilevel"/>
    <w:tmpl w:val="6B841D9C"/>
    <w:lvl w:ilvl="0" w:tplc="57E6ABE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20"/>
    <w:rsid w:val="00113081"/>
    <w:rsid w:val="00160F70"/>
    <w:rsid w:val="00163F81"/>
    <w:rsid w:val="0016543F"/>
    <w:rsid w:val="00182A17"/>
    <w:rsid w:val="00192289"/>
    <w:rsid w:val="001C6C8E"/>
    <w:rsid w:val="001D2856"/>
    <w:rsid w:val="001F29D7"/>
    <w:rsid w:val="00254B3A"/>
    <w:rsid w:val="002B2C66"/>
    <w:rsid w:val="003D653C"/>
    <w:rsid w:val="004022CA"/>
    <w:rsid w:val="004402B8"/>
    <w:rsid w:val="0045654E"/>
    <w:rsid w:val="00536104"/>
    <w:rsid w:val="00542549"/>
    <w:rsid w:val="0059138F"/>
    <w:rsid w:val="005B60CF"/>
    <w:rsid w:val="005D37AB"/>
    <w:rsid w:val="005F6F58"/>
    <w:rsid w:val="00675E66"/>
    <w:rsid w:val="00742B93"/>
    <w:rsid w:val="007D6B74"/>
    <w:rsid w:val="00833020"/>
    <w:rsid w:val="00855496"/>
    <w:rsid w:val="00891E87"/>
    <w:rsid w:val="008A6713"/>
    <w:rsid w:val="00923222"/>
    <w:rsid w:val="009C70D7"/>
    <w:rsid w:val="00A266CC"/>
    <w:rsid w:val="00A716A9"/>
    <w:rsid w:val="00A8719B"/>
    <w:rsid w:val="00AA1E06"/>
    <w:rsid w:val="00AC0076"/>
    <w:rsid w:val="00B06517"/>
    <w:rsid w:val="00B175CF"/>
    <w:rsid w:val="00B200B7"/>
    <w:rsid w:val="00B5248C"/>
    <w:rsid w:val="00B62000"/>
    <w:rsid w:val="00B73BCD"/>
    <w:rsid w:val="00BB559D"/>
    <w:rsid w:val="00DD7764"/>
    <w:rsid w:val="00E3022B"/>
    <w:rsid w:val="00E438BD"/>
    <w:rsid w:val="00F12ECB"/>
    <w:rsid w:val="00F53718"/>
    <w:rsid w:val="00F539D3"/>
    <w:rsid w:val="00F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9C6C9"/>
  <w15:chartTrackingRefBased/>
  <w15:docId w15:val="{74CCE287-31F8-4F04-9A71-FEB41935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B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6B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2B"/>
  </w:style>
  <w:style w:type="paragraph" w:styleId="Footer">
    <w:name w:val="footer"/>
    <w:basedOn w:val="Normal"/>
    <w:link w:val="FooterChar"/>
    <w:uiPriority w:val="99"/>
    <w:unhideWhenUsed/>
    <w:rsid w:val="00E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2B"/>
  </w:style>
  <w:style w:type="character" w:styleId="Mention">
    <w:name w:val="Mention"/>
    <w:basedOn w:val="DefaultParagraphFont"/>
    <w:uiPriority w:val="99"/>
    <w:semiHidden/>
    <w:unhideWhenUsed/>
    <w:rsid w:val="001654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17.ieeeghtc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HTCsolutions@ieee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jbtOiqgcjSAhWIq1QKHQSYBT8QjRwIBw&amp;url=https://sustainabledevelopment.un.org/focussdgs.html&amp;psig=AFQjCNFb66ViqP0LxGDU8aFYimpwV_OlOg&amp;ust=1489100340978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4</cp:revision>
  <dcterms:created xsi:type="dcterms:W3CDTF">2017-03-16T00:17:00Z</dcterms:created>
  <dcterms:modified xsi:type="dcterms:W3CDTF">2017-03-16T00:21:00Z</dcterms:modified>
</cp:coreProperties>
</file>